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DA" w:rsidRDefault="00DC1FDA" w:rsidP="00DC1FDA">
      <w:pPr>
        <w:shd w:val="clear" w:color="auto" w:fill="FFFFFF"/>
        <w:wordWrap w:val="0"/>
        <w:spacing w:line="400" w:lineRule="atLeast"/>
        <w:rPr>
          <w:rFonts w:ascii="黑体" w:eastAsia="黑体" w:cs="Segoe UI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int="eastAsia"/>
          <w:sz w:val="32"/>
          <w:szCs w:val="32"/>
          <w:shd w:val="clear" w:color="auto" w:fill="FFFFFF"/>
        </w:rPr>
        <w:t>2：</w:t>
      </w:r>
      <w:r>
        <w:rPr>
          <w:rFonts w:ascii="黑体" w:eastAsia="黑体" w:cs="Segoe UI" w:hint="eastAsia"/>
          <w:sz w:val="32"/>
          <w:szCs w:val="32"/>
          <w:shd w:val="clear" w:color="auto" w:fill="FFFFFF"/>
        </w:rPr>
        <w:t xml:space="preserve">                     </w:t>
      </w:r>
    </w:p>
    <w:p w:rsidR="00DC1FDA" w:rsidRDefault="00DC1FDA" w:rsidP="00DC1FDA">
      <w:pPr>
        <w:shd w:val="clear" w:color="auto" w:fill="FFFFFF"/>
        <w:spacing w:line="400" w:lineRule="atLeast"/>
        <w:jc w:val="center"/>
        <w:rPr>
          <w:rFonts w:ascii="黑体" w:eastAsia="黑体" w:hint="eastAsia"/>
          <w:sz w:val="44"/>
          <w:szCs w:val="44"/>
          <w:shd w:val="clear" w:color="auto" w:fill="FFFFFF"/>
        </w:rPr>
      </w:pPr>
      <w:r>
        <w:rPr>
          <w:rFonts w:ascii="黑体" w:eastAsia="黑体" w:hAnsi="黑体" w:hint="eastAsia"/>
          <w:sz w:val="44"/>
          <w:szCs w:val="44"/>
          <w:shd w:val="clear" w:color="auto" w:fill="FFFFFF"/>
        </w:rPr>
        <w:t>审计项目招标评分标准</w:t>
      </w:r>
    </w:p>
    <w:tbl>
      <w:tblPr>
        <w:tblW w:w="829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93"/>
        <w:gridCol w:w="4512"/>
        <w:gridCol w:w="1265"/>
      </w:tblGrid>
      <w:tr w:rsidR="00DC1FDA" w:rsidTr="00E65488">
        <w:trPr>
          <w:trHeight w:val="723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81"/>
              <w:ind w:left="193" w:right="6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序号 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81"/>
              <w:ind w:left="169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评审项目 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81"/>
              <w:ind w:right="20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评分标准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81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分值</w:t>
            </w:r>
          </w:p>
        </w:tc>
      </w:tr>
      <w:tr w:rsidR="00DC1FDA" w:rsidTr="00E65488">
        <w:trPr>
          <w:trHeight w:val="324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DA" w:rsidRDefault="00DC1FDA" w:rsidP="00E65488">
            <w:pPr>
              <w:pStyle w:val="TableParagraph"/>
              <w:spacing w:before="17"/>
              <w:rPr>
                <w:rFonts w:ascii="Microsoft JhengHei" w:cs="Microsoft JhengHei" w:hint="eastAsia"/>
                <w:b/>
                <w:sz w:val="16"/>
                <w:szCs w:val="16"/>
              </w:rPr>
            </w:pPr>
          </w:p>
          <w:p w:rsidR="00DC1FDA" w:rsidRDefault="00DC1FDA" w:rsidP="00E65488">
            <w:pPr>
              <w:pStyle w:val="TableParagraph"/>
              <w:ind w:left="193" w:right="6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FDA" w:rsidRDefault="00DC1FDA" w:rsidP="00E65488">
            <w:pPr>
              <w:pStyle w:val="TableParagraph"/>
              <w:spacing w:before="17"/>
              <w:rPr>
                <w:rFonts w:ascii="Microsoft JhengHei" w:cs="Microsoft JhengHei" w:hint="eastAsia"/>
                <w:b/>
                <w:sz w:val="16"/>
                <w:szCs w:val="16"/>
              </w:rPr>
            </w:pPr>
          </w:p>
          <w:p w:rsidR="00DC1FDA" w:rsidRDefault="00DC1FDA" w:rsidP="00E65488">
            <w:pPr>
              <w:pStyle w:val="TableParagraph"/>
              <w:ind w:left="145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报价</w:t>
            </w:r>
          </w:p>
          <w:p w:rsidR="00DC1FDA" w:rsidRDefault="00DC1FDA" w:rsidP="00E65488">
            <w:pPr>
              <w:pStyle w:val="TableParagraph"/>
              <w:ind w:left="145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（10分）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79"/>
              <w:ind w:left="104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pacing w:val="-7"/>
                <w:sz w:val="24"/>
                <w:szCs w:val="24"/>
              </w:rPr>
              <w:t>满足采购文件要求且响应报价的最低最终报价为评审基准价，其价格分为满分。其他供应商的价格</w:t>
            </w:r>
            <w:proofErr w:type="gramStart"/>
            <w:r>
              <w:rPr>
                <w:rFonts w:cs="Times New Roman" w:hint="eastAsia"/>
                <w:spacing w:val="-7"/>
                <w:sz w:val="24"/>
                <w:szCs w:val="24"/>
              </w:rPr>
              <w:t>分统一</w:t>
            </w:r>
            <w:proofErr w:type="gramEnd"/>
            <w:r>
              <w:rPr>
                <w:rFonts w:cs="Times New Roman" w:hint="eastAsia"/>
                <w:spacing w:val="-7"/>
                <w:sz w:val="24"/>
                <w:szCs w:val="24"/>
              </w:rPr>
              <w:t>按照下列公示计算：报价得分=10-</w:t>
            </w:r>
            <w:r>
              <w:rPr>
                <w:rFonts w:cs="Times New Roman" w:hint="eastAsia"/>
                <w:spacing w:val="-2"/>
                <w:sz w:val="24"/>
                <w:szCs w:val="24"/>
              </w:rPr>
              <w:t>（</w:t>
            </w:r>
            <w:r>
              <w:rPr>
                <w:rFonts w:cs="Times New Roman" w:hint="eastAsia"/>
                <w:sz w:val="24"/>
                <w:szCs w:val="24"/>
              </w:rPr>
              <w:t>最终报价-</w:t>
            </w:r>
            <w:r>
              <w:rPr>
                <w:rFonts w:cs="Times New Roman" w:hint="eastAsia"/>
                <w:spacing w:val="-2"/>
                <w:sz w:val="24"/>
                <w:szCs w:val="24"/>
              </w:rPr>
              <w:t>基</w:t>
            </w:r>
            <w:r>
              <w:rPr>
                <w:rFonts w:cs="Times New Roman" w:hint="eastAsia"/>
                <w:sz w:val="24"/>
                <w:szCs w:val="24"/>
              </w:rPr>
              <w:t>准价）×2（报价以万元为单位，得分保留小数点后两位）。此项目限价:不得超过15万元，超过此金额的报价</w:t>
            </w:r>
            <w:proofErr w:type="gramStart"/>
            <w:r>
              <w:rPr>
                <w:rFonts w:cs="Times New Roman" w:hint="eastAsia"/>
                <w:sz w:val="24"/>
                <w:szCs w:val="24"/>
              </w:rPr>
              <w:t>作为废标处理</w:t>
            </w:r>
            <w:proofErr w:type="gramEnd"/>
            <w:r>
              <w:rPr>
                <w:rFonts w:cs="Times New Roman" w:hint="eastAsia"/>
                <w:sz w:val="24"/>
                <w:szCs w:val="24"/>
              </w:rPr>
              <w:t>；报价分最低为0分。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FDA" w:rsidRDefault="00DC1FDA" w:rsidP="00E65488">
            <w:pPr>
              <w:pStyle w:val="TableParagraph"/>
              <w:spacing w:before="17"/>
              <w:jc w:val="center"/>
              <w:rPr>
                <w:rFonts w:ascii="Microsoft JhengHei" w:cs="Microsoft JhengHei" w:hint="eastAsia"/>
                <w:b/>
                <w:sz w:val="16"/>
                <w:szCs w:val="16"/>
              </w:rPr>
            </w:pPr>
          </w:p>
          <w:p w:rsidR="00DC1FDA" w:rsidRDefault="00DC1FDA" w:rsidP="00E65488">
            <w:pPr>
              <w:pStyle w:val="TableParagraph"/>
              <w:ind w:left="105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10</w:t>
            </w:r>
          </w:p>
        </w:tc>
      </w:tr>
      <w:tr w:rsidR="00DC1FDA" w:rsidTr="00E65488">
        <w:trPr>
          <w:trHeight w:val="1433"/>
        </w:trPr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FDA" w:rsidRDefault="00DC1FDA" w:rsidP="00E65488">
            <w:pPr>
              <w:pStyle w:val="TableParagraph"/>
              <w:spacing w:before="13"/>
              <w:rPr>
                <w:rFonts w:ascii="Microsoft JhengHei" w:cs="Microsoft JhengHei" w:hint="eastAsia"/>
                <w:b/>
                <w:sz w:val="29"/>
                <w:szCs w:val="29"/>
              </w:rPr>
            </w:pPr>
          </w:p>
          <w:p w:rsidR="00DC1FDA" w:rsidRDefault="00DC1FDA" w:rsidP="00E65488">
            <w:pPr>
              <w:pStyle w:val="TableParagraph"/>
              <w:ind w:left="193" w:right="6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2 </w:t>
            </w:r>
          </w:p>
        </w:tc>
        <w:tc>
          <w:tcPr>
            <w:tcW w:w="11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1FDA" w:rsidRDefault="00DC1FDA" w:rsidP="00E65488">
            <w:pPr>
              <w:pStyle w:val="TableParagraph"/>
              <w:spacing w:before="17"/>
              <w:rPr>
                <w:rFonts w:ascii="Microsoft JhengHei" w:cs="Microsoft JhengHei" w:hint="eastAsia"/>
                <w:b/>
                <w:sz w:val="16"/>
                <w:szCs w:val="16"/>
              </w:rPr>
            </w:pPr>
          </w:p>
          <w:p w:rsidR="00DC1FDA" w:rsidRDefault="00DC1FDA" w:rsidP="00E65488">
            <w:pPr>
              <w:pStyle w:val="TableParagraph"/>
              <w:spacing w:line="300" w:lineRule="auto"/>
              <w:ind w:right="10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业绩及方案</w:t>
            </w:r>
          </w:p>
          <w:p w:rsidR="00DC1FDA" w:rsidRDefault="00DC1FDA" w:rsidP="00E65488">
            <w:pPr>
              <w:pStyle w:val="TableParagraph"/>
              <w:spacing w:line="300" w:lineRule="auto"/>
              <w:ind w:right="10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（70分）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1"/>
              <w:ind w:left="104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  <w:sz w:val="24"/>
                <w:szCs w:val="24"/>
              </w:rPr>
              <w:t>自2019年以来具备类似单位绩效审计、财务收支审计、负责人经济责任审计项目每一个得8分，最高得40分。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40</w:t>
            </w:r>
          </w:p>
        </w:tc>
      </w:tr>
      <w:tr w:rsidR="00DC1FDA" w:rsidTr="00E65488">
        <w:trPr>
          <w:trHeight w:val="1904"/>
        </w:trPr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rPr>
                <w:rFonts w:cs="Times New Roman"/>
                <w:kern w:val="2"/>
              </w:rPr>
            </w:pPr>
          </w:p>
        </w:tc>
        <w:tc>
          <w:tcPr>
            <w:tcW w:w="11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rPr>
                <w:rFonts w:cs="Times New Roman"/>
                <w:kern w:val="2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1"/>
              <w:ind w:left="104"/>
              <w:rPr>
                <w:rFonts w:cs="Times New Roman" w:hint="eastAsia"/>
                <w:spacing w:val="-2"/>
                <w:sz w:val="24"/>
                <w:szCs w:val="24"/>
              </w:rPr>
            </w:pPr>
            <w:r>
              <w:rPr>
                <w:rFonts w:cs="Times New Roman" w:hint="eastAsia"/>
                <w:spacing w:val="-2"/>
                <w:sz w:val="24"/>
                <w:szCs w:val="24"/>
              </w:rPr>
              <w:t>审</w:t>
            </w:r>
            <w:r>
              <w:rPr>
                <w:rFonts w:cs="Times New Roman" w:hint="eastAsia"/>
                <w:sz w:val="24"/>
                <w:szCs w:val="24"/>
              </w:rPr>
              <w:t>计服务方案是否</w:t>
            </w:r>
            <w:bookmarkStart w:id="0" w:name="_GoBack"/>
            <w:bookmarkEnd w:id="0"/>
            <w:r>
              <w:rPr>
                <w:rFonts w:cs="Times New Roman" w:hint="eastAsia"/>
                <w:sz w:val="24"/>
                <w:szCs w:val="24"/>
              </w:rPr>
              <w:t>科学、合理、有针对性，审计组人员组成是否合理，成员其职责划分是否明确，能否满足项目需求：优25-30分，良20-25分，合格15-20分，差0-15分。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30</w:t>
            </w:r>
          </w:p>
        </w:tc>
      </w:tr>
      <w:tr w:rsidR="00DC1FDA" w:rsidTr="00E65488">
        <w:trPr>
          <w:trHeight w:val="2536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ind w:left="193" w:right="6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line="300" w:lineRule="auto"/>
              <w:ind w:left="7" w:right="107" w:hanging="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商务评分</w:t>
            </w:r>
          </w:p>
          <w:p w:rsidR="00DC1FDA" w:rsidRDefault="00DC1FDA" w:rsidP="00E65488">
            <w:pPr>
              <w:pStyle w:val="TableParagraph"/>
              <w:spacing w:line="300" w:lineRule="auto"/>
              <w:ind w:left="7" w:right="107" w:hanging="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（15分）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spacing w:before="1"/>
              <w:ind w:left="104"/>
              <w:rPr>
                <w:rFonts w:cs="Times New Roman" w:hint="eastAsia"/>
                <w:spacing w:val="-2"/>
                <w:sz w:val="24"/>
                <w:szCs w:val="24"/>
              </w:rPr>
            </w:pPr>
            <w:r>
              <w:rPr>
                <w:rFonts w:cs="Times New Roman" w:hint="eastAsia"/>
                <w:spacing w:val="11"/>
                <w:sz w:val="24"/>
                <w:szCs w:val="24"/>
              </w:rPr>
              <w:t>入选四川省国有资产管理委员会的中介机构备选库的，得8分；在省级注册会计师行业协会</w:t>
            </w:r>
            <w:r>
              <w:rPr>
                <w:rFonts w:cs="Times New Roman" w:hint="eastAsia"/>
                <w:sz w:val="24"/>
                <w:szCs w:val="24"/>
              </w:rPr>
              <w:t>2021年度会计师事务所综合评级中，被评为AAAA级及以上的，</w:t>
            </w:r>
            <w:r>
              <w:rPr>
                <w:rFonts w:cs="Times New Roman" w:hint="eastAsia"/>
                <w:spacing w:val="11"/>
                <w:sz w:val="24"/>
                <w:szCs w:val="24"/>
              </w:rPr>
              <w:t>得7分，AAA级的得5分，AA级及以下的得2分。满分15分。提供</w:t>
            </w:r>
            <w:r>
              <w:rPr>
                <w:rFonts w:cs="Times New Roman" w:hint="eastAsia"/>
                <w:sz w:val="24"/>
                <w:szCs w:val="24"/>
              </w:rPr>
              <w:t xml:space="preserve">相关证明材料复印件。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15</w:t>
            </w:r>
          </w:p>
        </w:tc>
      </w:tr>
      <w:tr w:rsidR="00DC1FDA" w:rsidTr="00E65488">
        <w:trPr>
          <w:trHeight w:val="152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DA" w:rsidRDefault="00DC1FDA" w:rsidP="00E65488">
            <w:pPr>
              <w:pStyle w:val="TableParagraph"/>
              <w:spacing w:before="2"/>
              <w:rPr>
                <w:rFonts w:ascii="Microsoft JhengHei" w:cs="Microsoft JhengHei" w:hint="eastAsia"/>
                <w:b/>
                <w:sz w:val="17"/>
                <w:szCs w:val="17"/>
              </w:rPr>
            </w:pPr>
          </w:p>
          <w:p w:rsidR="00DC1FDA" w:rsidRDefault="00DC1FDA" w:rsidP="00DC1FDA">
            <w:pPr>
              <w:pStyle w:val="TableParagraph"/>
              <w:ind w:right="190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1FDA" w:rsidRDefault="00DC1FDA" w:rsidP="00E65488">
            <w:pPr>
              <w:pStyle w:val="TableParagraph"/>
              <w:spacing w:before="82"/>
              <w:ind w:left="107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pacing w:val="32"/>
                <w:sz w:val="24"/>
                <w:szCs w:val="24"/>
              </w:rPr>
              <w:t>投标文件</w:t>
            </w:r>
            <w:r>
              <w:rPr>
                <w:rFonts w:cs="Times New Roman" w:hint="eastAsia"/>
                <w:spacing w:val="-77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的规范性</w:t>
            </w:r>
          </w:p>
          <w:p w:rsidR="00DC1FDA" w:rsidRDefault="00DC1FDA" w:rsidP="00E65488">
            <w:pPr>
              <w:pStyle w:val="TableParagraph"/>
              <w:spacing w:before="160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（5分）</w:t>
            </w:r>
          </w:p>
        </w:tc>
        <w:tc>
          <w:tcPr>
            <w:tcW w:w="4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1FDA" w:rsidRDefault="00DC1FDA" w:rsidP="00E65488">
            <w:pPr>
              <w:pStyle w:val="TableParagraph"/>
              <w:spacing w:before="82"/>
              <w:ind w:left="104"/>
              <w:rPr>
                <w:rFonts w:cs="Times New Roman" w:hint="eastAsia"/>
                <w:spacing w:val="11"/>
                <w:sz w:val="24"/>
                <w:szCs w:val="24"/>
              </w:rPr>
            </w:pPr>
            <w:r>
              <w:rPr>
                <w:rFonts w:cs="Times New Roman" w:hint="eastAsia"/>
                <w:spacing w:val="11"/>
                <w:sz w:val="24"/>
                <w:szCs w:val="24"/>
              </w:rPr>
              <w:t>投标文件制作规范，没有细微偏差情形的得 5 分；</w:t>
            </w:r>
          </w:p>
          <w:p w:rsidR="00DC1FDA" w:rsidRDefault="00DC1FDA" w:rsidP="00E65488">
            <w:pPr>
              <w:pStyle w:val="TableParagraph"/>
              <w:spacing w:before="160"/>
              <w:ind w:left="104"/>
              <w:rPr>
                <w:rFonts w:cs="Times New Roman" w:hint="eastAsia"/>
                <w:spacing w:val="11"/>
                <w:sz w:val="24"/>
                <w:szCs w:val="24"/>
              </w:rPr>
            </w:pPr>
            <w:r>
              <w:rPr>
                <w:rFonts w:cs="Times New Roman" w:hint="eastAsia"/>
                <w:spacing w:val="11"/>
                <w:sz w:val="24"/>
                <w:szCs w:val="24"/>
              </w:rPr>
              <w:t xml:space="preserve">每有一项细微偏差扣 1 分，扣完为止。 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1FDA" w:rsidRDefault="00DC1FDA" w:rsidP="00E65488">
            <w:pPr>
              <w:pStyle w:val="TableParagraph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5</w:t>
            </w:r>
          </w:p>
        </w:tc>
      </w:tr>
    </w:tbl>
    <w:p w:rsidR="00DC1FDA" w:rsidRDefault="00DC1FDA" w:rsidP="00DC1FDA">
      <w:pPr>
        <w:shd w:val="clear" w:color="auto" w:fill="FFFFFF"/>
        <w:wordWrap w:val="0"/>
        <w:spacing w:line="400" w:lineRule="atLeast"/>
        <w:rPr>
          <w:rFonts w:ascii="黑体" w:eastAsia="黑体" w:hint="eastAsia"/>
          <w:sz w:val="32"/>
          <w:szCs w:val="32"/>
          <w:shd w:val="clear" w:color="auto" w:fill="FFFFFF"/>
        </w:rPr>
      </w:pPr>
      <w:r>
        <w:rPr>
          <w:rFonts w:ascii="黑体" w:eastAsia="黑体" w:cs="Segoe UI" w:hint="eastAsia"/>
          <w:sz w:val="32"/>
          <w:szCs w:val="32"/>
          <w:shd w:val="clear" w:color="auto" w:fill="FFFFFF"/>
        </w:rPr>
        <w:t xml:space="preserve"> </w:t>
      </w:r>
      <w:r>
        <w:rPr>
          <w:rFonts w:ascii="黑体" w:eastAsia="黑体" w:hint="eastAsia"/>
          <w:sz w:val="32"/>
          <w:szCs w:val="32"/>
          <w:shd w:val="clear" w:color="auto" w:fill="FFFFFF"/>
        </w:rPr>
        <w:t xml:space="preserve"> </w:t>
      </w:r>
    </w:p>
    <w:p w:rsidR="001D058A" w:rsidRDefault="001D058A"/>
    <w:sectPr w:rsidR="001D0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DA"/>
    <w:rsid w:val="001D058A"/>
    <w:rsid w:val="00D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11255-A961-4D09-ABBD-5300A892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D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DC1FDA"/>
    <w:pPr>
      <w:widowControl w:val="0"/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王鹏</dc:creator>
  <cp:keywords/>
  <dc:description/>
  <cp:lastModifiedBy>王鹏</cp:lastModifiedBy>
  <cp:revision>1</cp:revision>
  <dcterms:created xsi:type="dcterms:W3CDTF">2022-04-21T06:58:00Z</dcterms:created>
  <dcterms:modified xsi:type="dcterms:W3CDTF">2022-04-21T06:58:00Z</dcterms:modified>
</cp:coreProperties>
</file>